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29"/>
        <w:gridCol w:w="3209"/>
        <w:gridCol w:w="1605"/>
        <w:gridCol w:w="2333"/>
      </w:tblGrid>
      <w:tr w:rsidR="0092799D" w14:paraId="4F0E3D36" w14:textId="77777777" w:rsidTr="00C60E28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95CF"/>
          </w:tcPr>
          <w:p w14:paraId="3CAA6F10" w14:textId="77777777" w:rsidR="0092799D" w:rsidRPr="002453B2" w:rsidRDefault="0092799D" w:rsidP="00C60E2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  <w:p w14:paraId="71738B75" w14:textId="26F6D774" w:rsidR="0092799D" w:rsidRPr="002453B2" w:rsidRDefault="008130BB" w:rsidP="00C60E2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Oral Antiviral Treatment Plan</w:t>
            </w:r>
            <w:r w:rsidR="0092799D" w:rsidRPr="002453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(COVID</w:t>
            </w:r>
            <w:r w:rsidR="0092799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-19</w:t>
            </w:r>
            <w:r w:rsidR="0092799D" w:rsidRPr="002453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&amp; Influenza)</w:t>
            </w:r>
          </w:p>
          <w:p w14:paraId="78B9EEC1" w14:textId="77777777" w:rsidR="0092799D" w:rsidRPr="002453B2" w:rsidRDefault="0092799D" w:rsidP="00C60E2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453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for residents of South Australian aged care facilities</w:t>
            </w:r>
          </w:p>
          <w:p w14:paraId="100947A5" w14:textId="77777777" w:rsidR="0092799D" w:rsidRDefault="0092799D" w:rsidP="00C60E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99D" w14:paraId="281550E4" w14:textId="77777777" w:rsidTr="00C60E28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F2A43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99D" w14:paraId="5A0D97AE" w14:textId="77777777" w:rsidTr="00C60E28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B996D" w14:textId="54C06FFF" w:rsidR="00F655EA" w:rsidRDefault="0092799D" w:rsidP="00C60E28">
            <w:pPr>
              <w:rPr>
                <w:rFonts w:ascii="Arial" w:hAnsi="Arial" w:cs="Arial"/>
                <w:sz w:val="20"/>
                <w:szCs w:val="20"/>
              </w:rPr>
            </w:pPr>
            <w:r w:rsidRPr="00F02ED5">
              <w:rPr>
                <w:rFonts w:ascii="Arial" w:hAnsi="Arial" w:cs="Arial"/>
                <w:sz w:val="20"/>
                <w:szCs w:val="20"/>
              </w:rPr>
              <w:t>The risk of serious illness and death from respiratory viral illnesses including COVID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02ED5">
              <w:rPr>
                <w:rFonts w:ascii="Arial" w:hAnsi="Arial" w:cs="Arial"/>
                <w:sz w:val="20"/>
                <w:szCs w:val="20"/>
              </w:rPr>
              <w:t>19 and Influenza increases with age and the rate is even higher for those with other chronic health conditions or a weakened immune system. Treatments for COVID mild illness and influenza are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ED5">
              <w:rPr>
                <w:rFonts w:ascii="Arial" w:hAnsi="Arial" w:cs="Arial"/>
                <w:sz w:val="20"/>
                <w:szCs w:val="20"/>
              </w:rPr>
              <w:t>and reduce the risk of progression to severe disease.</w:t>
            </w:r>
            <w:r>
              <w:rPr>
                <w:rFonts w:ascii="Arial" w:hAnsi="Arial" w:cs="Arial"/>
                <w:sz w:val="20"/>
                <w:szCs w:val="20"/>
              </w:rPr>
              <w:t xml:space="preserve"> Antiviral treatments must be commenced as soon as possible after diagnosis. All people over the age of 70 are eligible for </w:t>
            </w:r>
            <w:r w:rsidR="00BE3B2D">
              <w:rPr>
                <w:rFonts w:ascii="Arial" w:hAnsi="Arial" w:cs="Arial"/>
                <w:sz w:val="20"/>
                <w:szCs w:val="20"/>
              </w:rPr>
              <w:t xml:space="preserve">COVID antiviral </w:t>
            </w:r>
            <w:r>
              <w:rPr>
                <w:rFonts w:ascii="Arial" w:hAnsi="Arial" w:cs="Arial"/>
                <w:sz w:val="20"/>
                <w:szCs w:val="20"/>
              </w:rPr>
              <w:t xml:space="preserve">treatment. </w:t>
            </w:r>
          </w:p>
          <w:p w14:paraId="04B6734C" w14:textId="1C659620" w:rsidR="0092799D" w:rsidRDefault="0092799D" w:rsidP="00C60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1BB24" w14:textId="77777777" w:rsidR="004A491F" w:rsidRDefault="00BE3B2D" w:rsidP="0092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Assessing a person’s wishes regarding treatment and their antiviral </w:t>
            </w:r>
            <w:r w:rsidR="0092799D"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eligibility and suitability in advance facilitates the streamlined and safe </w:t>
            </w:r>
            <w:r w:rsidR="0092799D">
              <w:rPr>
                <w:rFonts w:ascii="Arial" w:hAnsi="Arial" w:cs="Arial"/>
                <w:sz w:val="20"/>
                <w:szCs w:val="20"/>
              </w:rPr>
              <w:t>commenc</w:t>
            </w:r>
            <w:r>
              <w:rPr>
                <w:rFonts w:ascii="Arial" w:hAnsi="Arial" w:cs="Arial"/>
                <w:sz w:val="20"/>
                <w:szCs w:val="20"/>
              </w:rPr>
              <w:t>ement</w:t>
            </w:r>
            <w:r w:rsidR="009279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oral antivirals </w:t>
            </w:r>
            <w:r w:rsidR="0092799D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soon</w:t>
            </w:r>
            <w:r w:rsidR="0092799D"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symptom onset or diagnosis</w:t>
            </w:r>
            <w:r w:rsidR="0092799D">
              <w:rPr>
                <w:rFonts w:ascii="Arial" w:hAnsi="Arial" w:cs="Arial"/>
                <w:sz w:val="20"/>
                <w:szCs w:val="20"/>
              </w:rPr>
              <w:t>.</w:t>
            </w:r>
            <w:r w:rsidR="004A4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723DA" w14:textId="77777777" w:rsidR="004A491F" w:rsidRDefault="004A491F" w:rsidP="009279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975EB" w14:textId="2E7F90C9" w:rsidR="003F42A2" w:rsidRPr="0092799D" w:rsidRDefault="00561BB8" w:rsidP="0092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Aged Care Facilities should notify the General Practitioner </w:t>
            </w:r>
            <w:r w:rsidR="004A491F">
              <w:rPr>
                <w:rFonts w:ascii="Arial" w:hAnsi="Arial" w:cs="Arial"/>
                <w:sz w:val="20"/>
                <w:szCs w:val="20"/>
              </w:rPr>
              <w:t xml:space="preserve">by phone </w:t>
            </w:r>
            <w:r>
              <w:rPr>
                <w:rFonts w:ascii="Arial" w:hAnsi="Arial" w:cs="Arial"/>
                <w:sz w:val="20"/>
                <w:szCs w:val="20"/>
              </w:rPr>
              <w:t xml:space="preserve">as soon as possible </w:t>
            </w:r>
            <w:r w:rsidR="004A491F">
              <w:rPr>
                <w:rFonts w:ascii="Arial" w:hAnsi="Arial" w:cs="Arial"/>
                <w:sz w:val="20"/>
                <w:szCs w:val="20"/>
              </w:rPr>
              <w:t>within 24 hours of diagnosis of COVID or influenza.</w:t>
            </w:r>
          </w:p>
        </w:tc>
      </w:tr>
      <w:tr w:rsidR="0092799D" w14:paraId="25CC694B" w14:textId="77777777" w:rsidTr="00C60E28">
        <w:tc>
          <w:tcPr>
            <w:tcW w:w="9776" w:type="dxa"/>
            <w:gridSpan w:val="4"/>
            <w:tcBorders>
              <w:top w:val="nil"/>
              <w:left w:val="nil"/>
              <w:right w:val="nil"/>
            </w:tcBorders>
          </w:tcPr>
          <w:p w14:paraId="5680C9D9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99D" w14:paraId="70D9D0B8" w14:textId="77777777" w:rsidTr="00C60E28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808285"/>
          </w:tcPr>
          <w:p w14:paraId="2DF02575" w14:textId="302A6C5A" w:rsidR="0092799D" w:rsidRPr="002453B2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45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 ONE 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 be completed by </w:t>
            </w:r>
            <w:r w:rsidRPr="00245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with resident or their substitute decision maker)</w:t>
            </w:r>
          </w:p>
        </w:tc>
      </w:tr>
      <w:tr w:rsidR="0092799D" w14:paraId="14EAFADF" w14:textId="77777777" w:rsidTr="00C60E28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F290D2A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99D" w14:paraId="23E92198" w14:textId="77777777" w:rsidTr="00C60E28">
        <w:tc>
          <w:tcPr>
            <w:tcW w:w="2629" w:type="dxa"/>
            <w:tcBorders>
              <w:bottom w:val="single" w:sz="4" w:space="0" w:color="auto"/>
            </w:tcBorders>
            <w:shd w:val="clear" w:color="auto" w:fill="CBE7F5"/>
          </w:tcPr>
          <w:p w14:paraId="15A7052C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10">
              <w:rPr>
                <w:rFonts w:ascii="Arial" w:hAnsi="Arial" w:cs="Arial"/>
                <w:b/>
                <w:bCs/>
                <w:sz w:val="20"/>
                <w:szCs w:val="20"/>
              </w:rPr>
              <w:t>Resident name: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37E1963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CBE7F5"/>
          </w:tcPr>
          <w:p w14:paraId="57A0D1D7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1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F9F0E01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99D" w14:paraId="2BD63F16" w14:textId="77777777" w:rsidTr="00C60E28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BA86E8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99D" w14:paraId="1CF68ACE" w14:textId="77777777" w:rsidTr="00C60E28">
        <w:tc>
          <w:tcPr>
            <w:tcW w:w="2629" w:type="dxa"/>
            <w:shd w:val="clear" w:color="auto" w:fill="CBE7F5"/>
          </w:tcPr>
          <w:p w14:paraId="553EE96F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3209" w:type="dxa"/>
            <w:shd w:val="clear" w:color="auto" w:fill="CBE7F5"/>
          </w:tcPr>
          <w:p w14:paraId="698E3B3C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38" w:type="dxa"/>
            <w:gridSpan w:val="2"/>
            <w:shd w:val="clear" w:color="auto" w:fill="CBE7F5"/>
          </w:tcPr>
          <w:p w14:paraId="10836CED" w14:textId="77777777" w:rsidR="0092799D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92799D" w:rsidRPr="00026B10" w14:paraId="78AD9B18" w14:textId="77777777" w:rsidTr="00C60E28">
        <w:tc>
          <w:tcPr>
            <w:tcW w:w="2629" w:type="dxa"/>
            <w:shd w:val="clear" w:color="auto" w:fill="CBE7F5"/>
          </w:tcPr>
          <w:p w14:paraId="3937B7FC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3209" w:type="dxa"/>
          </w:tcPr>
          <w:p w14:paraId="299A0C66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14:paraId="15DA7455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9D" w:rsidRPr="00026B10" w14:paraId="1E2C2039" w14:textId="77777777" w:rsidTr="00C60E28">
        <w:tc>
          <w:tcPr>
            <w:tcW w:w="2629" w:type="dxa"/>
            <w:shd w:val="clear" w:color="auto" w:fill="CBE7F5"/>
          </w:tcPr>
          <w:p w14:paraId="73D46692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with patient</w:t>
            </w:r>
          </w:p>
        </w:tc>
        <w:tc>
          <w:tcPr>
            <w:tcW w:w="3209" w:type="dxa"/>
          </w:tcPr>
          <w:p w14:paraId="366FE251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14:paraId="7D4A159D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9D" w:rsidRPr="00026B10" w14:paraId="1F77AF05" w14:textId="77777777" w:rsidTr="00C60E28">
        <w:tc>
          <w:tcPr>
            <w:tcW w:w="2629" w:type="dxa"/>
            <w:tcBorders>
              <w:bottom w:val="single" w:sz="4" w:space="0" w:color="auto"/>
            </w:tcBorders>
            <w:shd w:val="clear" w:color="auto" w:fill="CBE7F5"/>
          </w:tcPr>
          <w:p w14:paraId="1DDCEBAC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with SDM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3F49EB78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</w:tcPr>
          <w:p w14:paraId="11DB2719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9D" w:rsidRPr="00026B10" w14:paraId="10D935AE" w14:textId="77777777" w:rsidTr="00C60E28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D820A7D" w14:textId="77777777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9D" w:rsidRPr="00026B10" w14:paraId="5B247E6B" w14:textId="77777777" w:rsidTr="00C60E28"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BE7F5"/>
          </w:tcPr>
          <w:p w14:paraId="77ED06A2" w14:textId="2B484668" w:rsidR="00117DE9" w:rsidRPr="006B213B" w:rsidRDefault="0092799D" w:rsidP="00C60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B213B">
              <w:rPr>
                <w:rFonts w:ascii="Arial" w:hAnsi="Arial" w:cs="Arial"/>
                <w:b/>
                <w:bCs/>
                <w:sz w:val="20"/>
                <w:szCs w:val="20"/>
              </w:rPr>
              <w:t>In the event that</w:t>
            </w:r>
            <w:proofErr w:type="gramEnd"/>
            <w:r w:rsidRPr="006B2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are diagnosed with COVID-19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influenza </w:t>
            </w:r>
            <w:r w:rsidRPr="006B2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wish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antiviral </w:t>
            </w:r>
            <w:r w:rsidRPr="006B213B">
              <w:rPr>
                <w:rFonts w:ascii="Arial" w:hAnsi="Arial" w:cs="Arial"/>
                <w:b/>
                <w:bCs/>
                <w:sz w:val="20"/>
                <w:szCs w:val="20"/>
              </w:rPr>
              <w:t>treatment – with the goal of reducing the risk of progression to severe disease and hospitalisation?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refer Patient Information – COVID and Influenza Treatments)</w:t>
            </w:r>
          </w:p>
        </w:tc>
      </w:tr>
      <w:tr w:rsidR="0092799D" w:rsidRPr="00026B10" w14:paraId="6979AA40" w14:textId="77777777" w:rsidTr="00C60E28"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2BB98" w14:textId="718C02DA" w:rsidR="0092799D" w:rsidRDefault="003D1058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4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99D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92799D">
              <w:rPr>
                <w:rFonts w:ascii="Arial" w:hAnsi="Arial" w:cs="Arial"/>
                <w:sz w:val="20"/>
                <w:szCs w:val="20"/>
              </w:rPr>
              <w:tab/>
            </w:r>
            <w:r w:rsidR="0092799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7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99D">
              <w:rPr>
                <w:rFonts w:ascii="Arial" w:hAnsi="Arial" w:cs="Arial"/>
                <w:sz w:val="20"/>
                <w:szCs w:val="20"/>
              </w:rPr>
              <w:t xml:space="preserve">  No       COVID oral antiviral - Molnupiravir (Lagevrio) </w:t>
            </w:r>
          </w:p>
          <w:p w14:paraId="687A03C6" w14:textId="6D8413D6" w:rsidR="00BE3B2D" w:rsidRDefault="003D1058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4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3B2D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BE3B2D">
              <w:rPr>
                <w:rFonts w:ascii="Arial" w:hAnsi="Arial" w:cs="Arial"/>
                <w:sz w:val="20"/>
                <w:szCs w:val="20"/>
              </w:rPr>
              <w:tab/>
            </w:r>
            <w:r w:rsidR="00BE3B2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3B2D">
              <w:rPr>
                <w:rFonts w:ascii="Arial" w:hAnsi="Arial" w:cs="Arial"/>
                <w:sz w:val="20"/>
                <w:szCs w:val="20"/>
              </w:rPr>
              <w:t xml:space="preserve">  No       COVID oral antiviral - Nirmatrelvir/Ritonavir (Paxlovid)</w:t>
            </w:r>
            <w:r w:rsidR="00F763B9">
              <w:rPr>
                <w:rFonts w:ascii="Arial" w:hAnsi="Arial" w:cs="Arial"/>
                <w:sz w:val="20"/>
                <w:szCs w:val="20"/>
              </w:rPr>
              <w:t xml:space="preserve"> – if suitable</w:t>
            </w:r>
          </w:p>
          <w:p w14:paraId="43B37F33" w14:textId="7EF9E0AA" w:rsidR="0092799D" w:rsidRDefault="003D1058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86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99D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92799D">
              <w:rPr>
                <w:rFonts w:ascii="Arial" w:hAnsi="Arial" w:cs="Arial"/>
                <w:sz w:val="20"/>
                <w:szCs w:val="20"/>
              </w:rPr>
              <w:tab/>
            </w:r>
            <w:r w:rsidR="0092799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18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99D">
              <w:rPr>
                <w:rFonts w:ascii="Arial" w:hAnsi="Arial" w:cs="Arial"/>
                <w:sz w:val="20"/>
                <w:szCs w:val="20"/>
              </w:rPr>
              <w:t xml:space="preserve">  No       Influenza antiviral treatment - Oseltamivir (Tamiflu)</w:t>
            </w:r>
          </w:p>
          <w:p w14:paraId="4EB96A74" w14:textId="77777777" w:rsidR="0092799D" w:rsidRDefault="003D1058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31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99D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92799D">
              <w:rPr>
                <w:rFonts w:ascii="Arial" w:hAnsi="Arial" w:cs="Arial"/>
                <w:sz w:val="20"/>
                <w:szCs w:val="20"/>
              </w:rPr>
              <w:tab/>
            </w:r>
            <w:r w:rsidR="0092799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77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99D">
              <w:rPr>
                <w:rFonts w:ascii="Arial" w:hAnsi="Arial" w:cs="Arial"/>
                <w:sz w:val="20"/>
                <w:szCs w:val="20"/>
              </w:rPr>
              <w:t xml:space="preserve">  No       Influenza antiviral prophylaxis (in the event of an outbreak in the RACF)</w:t>
            </w:r>
          </w:p>
          <w:p w14:paraId="58239E38" w14:textId="0D2D148A" w:rsidR="00BE3B2D" w:rsidRPr="00026B10" w:rsidRDefault="003D1058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2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3B2D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BE3B2D">
              <w:rPr>
                <w:rFonts w:ascii="Arial" w:hAnsi="Arial" w:cs="Arial"/>
                <w:sz w:val="20"/>
                <w:szCs w:val="20"/>
              </w:rPr>
              <w:tab/>
            </w:r>
            <w:r w:rsidR="00BE3B2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3B2D">
              <w:rPr>
                <w:rFonts w:ascii="Arial" w:hAnsi="Arial" w:cs="Arial"/>
                <w:sz w:val="20"/>
                <w:szCs w:val="20"/>
              </w:rPr>
              <w:t xml:space="preserve">  No       I have been given written or verbal information regarding the above medications</w:t>
            </w:r>
          </w:p>
        </w:tc>
      </w:tr>
    </w:tbl>
    <w:p w14:paraId="7B854644" w14:textId="77777777" w:rsidR="0092799D" w:rsidRDefault="0092799D" w:rsidP="0092799D"/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3686"/>
        <w:gridCol w:w="6090"/>
      </w:tblGrid>
      <w:tr w:rsidR="0092799D" w:rsidRPr="00026B10" w14:paraId="7FB48917" w14:textId="77777777" w:rsidTr="00C60E28">
        <w:tc>
          <w:tcPr>
            <w:tcW w:w="9776" w:type="dxa"/>
            <w:gridSpan w:val="2"/>
          </w:tcPr>
          <w:p w14:paraId="42E5A9EC" w14:textId="77777777" w:rsidR="0092799D" w:rsidRPr="00702686" w:rsidRDefault="0092799D" w:rsidP="00C60E28">
            <w:pPr>
              <w:rPr>
                <w:b/>
                <w:bCs/>
              </w:rPr>
            </w:pPr>
            <w:r w:rsidRPr="00F02ED5">
              <w:rPr>
                <w:rFonts w:ascii="Arial" w:hAnsi="Arial" w:cs="Arial"/>
                <w:b/>
                <w:bCs/>
                <w:sz w:val="20"/>
                <w:szCs w:val="20"/>
              </w:rPr>
              <w:t>In the event of deterioration due to COVID or influenza, what are your wishes?</w:t>
            </w:r>
            <w:r>
              <w:t xml:space="preserve"> </w:t>
            </w:r>
          </w:p>
        </w:tc>
      </w:tr>
      <w:tr w:rsidR="0092799D" w:rsidRPr="00026B10" w14:paraId="6C3B492E" w14:textId="77777777" w:rsidTr="00F763B9">
        <w:trPr>
          <w:trHeight w:val="3010"/>
        </w:trPr>
        <w:tc>
          <w:tcPr>
            <w:tcW w:w="9776" w:type="dxa"/>
            <w:gridSpan w:val="2"/>
          </w:tcPr>
          <w:p w14:paraId="783389D3" w14:textId="66AF6CD9" w:rsidR="0092799D" w:rsidRPr="00026B10" w:rsidRDefault="0092799D" w:rsidP="00C60E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2686">
              <w:rPr>
                <w:rFonts w:ascii="Arial" w:hAnsi="Arial" w:cs="Arial"/>
                <w:i/>
                <w:iCs/>
                <w:sz w:val="20"/>
                <w:szCs w:val="20"/>
              </w:rPr>
              <w:t>Please refer to Advance Care Directive when responding to this questi</w:t>
            </w:r>
            <w:r w:rsidR="00F655EA">
              <w:rPr>
                <w:rFonts w:ascii="Arial" w:hAnsi="Arial" w:cs="Arial"/>
                <w:i/>
                <w:iCs/>
                <w:sz w:val="20"/>
                <w:szCs w:val="20"/>
              </w:rPr>
              <w:t>on</w:t>
            </w:r>
          </w:p>
        </w:tc>
      </w:tr>
      <w:tr w:rsidR="0092799D" w:rsidRPr="00026B10" w14:paraId="16AB41B2" w14:textId="77777777" w:rsidTr="00C60E28"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734859" w14:textId="51CD060F" w:rsidR="00F655EA" w:rsidRPr="00026B10" w:rsidRDefault="00F655EA" w:rsidP="00F763B9">
            <w:pPr>
              <w:tabs>
                <w:tab w:val="left" w:pos="1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3B9" w:rsidRPr="00026B10" w14:paraId="0CC52C3A" w14:textId="77777777" w:rsidTr="00C60E28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14:paraId="43040874" w14:textId="35D73CA0" w:rsidR="00F763B9" w:rsidRPr="00A72562" w:rsidRDefault="00F763B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TWO</w:t>
            </w:r>
            <w:r w:rsidRPr="00245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 be completed by </w:t>
            </w:r>
            <w:r w:rsidRPr="00245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763B9" w:rsidRPr="00026B10" w14:paraId="09B49BED" w14:textId="77777777" w:rsidTr="00F763B9">
        <w:tc>
          <w:tcPr>
            <w:tcW w:w="97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E57A2" w14:textId="77777777" w:rsidR="00F763B9" w:rsidRPr="00A26DE0" w:rsidRDefault="00F763B9" w:rsidP="00F763B9">
            <w:pPr>
              <w:spacing w:before="60" w:after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763B9" w:rsidRPr="00026B10" w14:paraId="45477485" w14:textId="77777777" w:rsidTr="00F763B9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CBE7F5"/>
          </w:tcPr>
          <w:p w14:paraId="70CE7DCE" w14:textId="29F10B05" w:rsidR="00F763B9" w:rsidRDefault="00F763B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ANTIVIRAL TREATMENT ELIGIBILITY AND SUITABILITY</w:t>
            </w:r>
          </w:p>
          <w:p w14:paraId="3CBD4D33" w14:textId="72EFB50B" w:rsidR="00F763B9" w:rsidRPr="00E06A71" w:rsidRDefault="00F763B9" w:rsidP="00F763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assessment will assist in determining which COVID</w:t>
            </w:r>
            <w:r w:rsidR="00814D77">
              <w:rPr>
                <w:rFonts w:ascii="Arial" w:hAnsi="Arial" w:cs="Arial"/>
                <w:sz w:val="20"/>
                <w:szCs w:val="20"/>
              </w:rPr>
              <w:t>-19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influenza treatment </w:t>
            </w:r>
            <w:r w:rsidR="005D7D5D">
              <w:rPr>
                <w:rFonts w:ascii="Arial" w:hAnsi="Arial" w:cs="Arial"/>
                <w:sz w:val="20"/>
                <w:szCs w:val="20"/>
              </w:rPr>
              <w:t>(Paxlovid</w:t>
            </w:r>
            <w:r w:rsidR="005D7D5D"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5D7D5D">
              <w:rPr>
                <w:rFonts w:ascii="Arial" w:hAnsi="Arial" w:cs="Arial"/>
                <w:sz w:val="20"/>
                <w:szCs w:val="20"/>
              </w:rPr>
              <w:t xml:space="preserve"> or Lagevrio</w:t>
            </w:r>
            <w:r w:rsidR="005D7D5D"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5D7D5D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may be suitable for your patient, in accordance with their wishes. Refer to </w:t>
            </w:r>
            <w:hyperlink r:id="rId7" w:history="1">
              <w:r w:rsidRPr="00F763B9">
                <w:rPr>
                  <w:rStyle w:val="Hyperlink"/>
                  <w:rFonts w:ascii="Arial" w:hAnsi="Arial" w:cs="Arial"/>
                  <w:sz w:val="20"/>
                  <w:szCs w:val="20"/>
                </w:rPr>
                <w:t>PBS Eligibility Criteria</w:t>
              </w:r>
            </w:hyperlink>
            <w:r w:rsidR="005D7D5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D67F92" w:rsidRPr="00D67F92">
                <w:rPr>
                  <w:rStyle w:val="Hyperlink"/>
                  <w:rFonts w:ascii="Arial" w:hAnsi="Arial" w:cs="Arial"/>
                  <w:sz w:val="20"/>
                  <w:szCs w:val="20"/>
                </w:rPr>
                <w:t>SA Health COVID 19 Mild Illness Treatment and Referrals</w:t>
              </w:r>
            </w:hyperlink>
            <w:r w:rsidR="00C6583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C6583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6583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C65839" w:rsidRPr="00C65839">
                <w:rPr>
                  <w:rStyle w:val="Hyperlink"/>
                  <w:rFonts w:ascii="Arial" w:hAnsi="Arial" w:cs="Arial"/>
                  <w:sz w:val="20"/>
                  <w:szCs w:val="20"/>
                </w:rPr>
                <w:t>NPS COVID Oral Antivirals in Residential Aged Care</w:t>
              </w:r>
            </w:hyperlink>
            <w:r w:rsidR="00C812EB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3B9" w:rsidRPr="00026B10" w14:paraId="3CE49095" w14:textId="77777777" w:rsidTr="00F763B9"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F939C6B" w14:textId="77777777" w:rsidR="00F763B9" w:rsidRPr="00A26DE0" w:rsidRDefault="00F763B9" w:rsidP="00F763B9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63B9" w:rsidRPr="00026B10" w14:paraId="2F4F4F0A" w14:textId="77777777" w:rsidTr="00C60E28">
        <w:tc>
          <w:tcPr>
            <w:tcW w:w="9776" w:type="dxa"/>
            <w:gridSpan w:val="2"/>
            <w:shd w:val="clear" w:color="auto" w:fill="CBE7F5"/>
          </w:tcPr>
          <w:p w14:paraId="278B8A8F" w14:textId="4B57185A" w:rsidR="00F763B9" w:rsidRDefault="00F763B9" w:rsidP="00F763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63DB">
              <w:rPr>
                <w:rFonts w:ascii="Arial" w:hAnsi="Arial" w:cs="Arial"/>
                <w:b/>
                <w:bCs/>
                <w:sz w:val="20"/>
                <w:szCs w:val="20"/>
              </w:rPr>
              <w:t>Age 70 years</w:t>
            </w:r>
            <w:r w:rsidR="00FB2926"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above</w:t>
            </w:r>
            <w:r w:rsidR="005D7D5D" w:rsidRPr="004763D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7D5D"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eligible for </w:t>
            </w:r>
            <w:r w:rsidR="00814D77"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</w:t>
            </w:r>
            <w:r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oral antiviral treatments on </w:t>
            </w:r>
            <w:r w:rsidR="005D7D5D" w:rsidRP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4763DB">
              <w:rPr>
                <w:rFonts w:ascii="Arial" w:hAnsi="Arial" w:cs="Arial"/>
                <w:b/>
                <w:bCs/>
                <w:sz w:val="20"/>
                <w:szCs w:val="20"/>
              </w:rPr>
              <w:t>PB</w:t>
            </w:r>
            <w:r w:rsidR="004763D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763DB" w:rsidRPr="00A26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3DB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804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3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5464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784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5464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763B9" w:rsidRPr="00026B10" w14:paraId="4DADB527" w14:textId="77777777" w:rsidTr="00C60E28">
        <w:tc>
          <w:tcPr>
            <w:tcW w:w="9776" w:type="dxa"/>
            <w:gridSpan w:val="2"/>
            <w:shd w:val="clear" w:color="auto" w:fill="auto"/>
          </w:tcPr>
          <w:p w14:paraId="30F54D92" w14:textId="5B32AA37" w:rsidR="00F763B9" w:rsidRPr="007C3577" w:rsidRDefault="00F763B9" w:rsidP="00F763B9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DE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</w:tr>
      <w:tr w:rsidR="00F763B9" w:rsidRPr="00026B10" w14:paraId="7D8FEDAC" w14:textId="77777777" w:rsidTr="007C3577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CBE7F5"/>
          </w:tcPr>
          <w:p w14:paraId="5596893D" w14:textId="4D6EF072" w:rsidR="005D7D5D" w:rsidRDefault="00F763B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 50</w:t>
            </w:r>
            <w:r w:rsidR="005D7D5D">
              <w:rPr>
                <w:rFonts w:ascii="Arial" w:hAnsi="Arial" w:cs="Arial"/>
                <w:b/>
                <w:bCs/>
                <w:sz w:val="20"/>
                <w:szCs w:val="20"/>
              </w:rPr>
              <w:t>-69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years (or 30 years for Aboriginal or Torres Strait Islander)</w:t>
            </w:r>
            <w:r w:rsidR="005D7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2 risk factors below? </w:t>
            </w:r>
          </w:p>
          <w:p w14:paraId="1C0B6E37" w14:textId="1FE461A2" w:rsidR="00F763B9" w:rsidRPr="007C3577" w:rsidRDefault="005D7D5D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Pr="00554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eligible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</w:t>
            </w:r>
            <w:r w:rsidRPr="00554648">
              <w:rPr>
                <w:rFonts w:ascii="Arial" w:hAnsi="Arial" w:cs="Arial"/>
                <w:b/>
                <w:bCs/>
                <w:sz w:val="20"/>
                <w:szCs w:val="20"/>
              </w:rPr>
              <w:t>oral antiviral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treatments</w:t>
            </w:r>
            <w:r w:rsidRPr="00554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</w:t>
            </w:r>
            <w:r w:rsidRPr="00554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7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154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3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 w:rsidRPr="0055464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008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B9" w:rsidRPr="00554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 w:rsidRPr="0055464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763B9" w:rsidRPr="00026B10" w14:paraId="3E7C95BC" w14:textId="77777777" w:rsidTr="00FB2926">
        <w:trPr>
          <w:trHeight w:val="3322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0166D9" w14:textId="07DAFE86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0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3D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63B9" w:rsidRPr="00A26DE0">
              <w:rPr>
                <w:rFonts w:ascii="Arial" w:hAnsi="Arial" w:cs="Arial"/>
                <w:sz w:val="20"/>
                <w:szCs w:val="20"/>
              </w:rPr>
              <w:t>Living in RACF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28FF2F" w14:textId="31B7902B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5E40" w:rsidRPr="00E527D1">
              <w:rPr>
                <w:rFonts w:ascii="Arial" w:hAnsi="Arial" w:cs="Arial"/>
                <w:sz w:val="20"/>
                <w:szCs w:val="20"/>
              </w:rPr>
              <w:t>D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isability with multiple comorbidities and/or frailty</w:t>
            </w:r>
          </w:p>
          <w:p w14:paraId="1A8E4121" w14:textId="7D6B9DBB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24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Neurological conditions, including stroke and dementia and demyelinating conditions</w:t>
            </w:r>
          </w:p>
          <w:p w14:paraId="028E9B52" w14:textId="04738808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6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Respiratory compromise, including COPD, moderate or severe asthma (required inhaled steroids), and</w:t>
            </w:r>
            <w:r w:rsidR="004763DB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 xml:space="preserve"> bronchiectasis, or caused by neurological or musculoskeletal disease, </w:t>
            </w:r>
          </w:p>
          <w:p w14:paraId="6543B814" w14:textId="6093D718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6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 xml:space="preserve">Heart failure, coronary artery disease, cardiomyopathies </w:t>
            </w:r>
          </w:p>
          <w:p w14:paraId="7B26EA75" w14:textId="63E617EE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280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Obesity (BMI greater than 30 kg/m</w:t>
            </w:r>
            <w:r w:rsidR="00B2005D"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197AB6" w14:textId="2AE9AB20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8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Diabetes type I or II, requiring medication for glycaemic control</w:t>
            </w:r>
          </w:p>
          <w:p w14:paraId="32E1C523" w14:textId="476288AA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31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Renal impairment (eGFR less than 60mL/min)</w:t>
            </w:r>
          </w:p>
          <w:p w14:paraId="0A316CA8" w14:textId="274D27F6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7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>Cirrhosis</w:t>
            </w:r>
          </w:p>
          <w:p w14:paraId="7D8532D1" w14:textId="265F37BF" w:rsidR="00B2005D" w:rsidRPr="00A26DE0" w:rsidRDefault="003D1058" w:rsidP="00A26DE0">
            <w:pPr>
              <w:pBdr>
                <w:bottom w:val="single" w:sz="4" w:space="1" w:color="auto"/>
              </w:pBdr>
              <w:ind w:left="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4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C8" w:rsidRPr="00E52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6AC8" w:rsidRPr="00E527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 xml:space="preserve">Reduced, or lack of, access to higher level healthcare and lives in an area of geographic remoteness </w:t>
            </w:r>
            <w:r w:rsidR="004763DB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B2005D" w:rsidRPr="00A26DE0">
              <w:rPr>
                <w:rFonts w:ascii="Arial" w:hAnsi="Arial" w:cs="Arial"/>
                <w:sz w:val="20"/>
                <w:szCs w:val="20"/>
              </w:rPr>
              <w:t xml:space="preserve">classified by the </w:t>
            </w:r>
            <w:hyperlink r:id="rId10" w:history="1">
              <w:r w:rsidR="00B2005D" w:rsidRPr="00A26DE0">
                <w:rPr>
                  <w:rStyle w:val="Hyperlink"/>
                  <w:rFonts w:ascii="Arial" w:hAnsi="Arial" w:cs="Arial"/>
                  <w:sz w:val="20"/>
                  <w:szCs w:val="20"/>
                </w:rPr>
                <w:t>Modified Monash Model</w:t>
              </w:r>
            </w:hyperlink>
            <w:r w:rsidR="00B2005D" w:rsidRPr="00A26DE0">
              <w:rPr>
                <w:rFonts w:ascii="Arial" w:hAnsi="Arial" w:cs="Arial"/>
                <w:sz w:val="20"/>
                <w:szCs w:val="20"/>
              </w:rPr>
              <w:t xml:space="preserve"> as Category 5 or above.</w:t>
            </w:r>
          </w:p>
          <w:p w14:paraId="3338B75F" w14:textId="2F27E311" w:rsidR="00F763B9" w:rsidRPr="00A26DE0" w:rsidRDefault="00F763B9" w:rsidP="00A26D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E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561AACEA" w14:textId="168577B2" w:rsidR="005D7D5D" w:rsidRDefault="00F763B9" w:rsidP="00FB2926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BDD6EE" w:themeFill="accent5" w:themeFillTint="66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7C3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years</w:t>
            </w:r>
            <w:r w:rsidR="005D7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above </w:t>
            </w:r>
            <w:r w:rsidR="005D7D5D" w:rsidRPr="005D7D5D">
              <w:rPr>
                <w:rFonts w:ascii="Arial" w:hAnsi="Arial" w:cs="Arial"/>
                <w:b/>
                <w:bCs/>
                <w:sz w:val="20"/>
                <w:szCs w:val="20"/>
              </w:rPr>
              <w:t>with moderate to severe immunocompromise</w:t>
            </w:r>
            <w:r w:rsidR="005D7D5D">
              <w:rPr>
                <w:rFonts w:ascii="Arial" w:hAnsi="Arial" w:cs="Arial"/>
                <w:b/>
                <w:bCs/>
                <w:sz w:val="20"/>
                <w:szCs w:val="20"/>
              </w:rPr>
              <w:t>? If Yes, eligible for COVID-19 oral antivirals on the PBS.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0A000997" w14:textId="089D8B9E" w:rsidR="00F763B9" w:rsidRPr="007C3577" w:rsidRDefault="003D1058" w:rsidP="005D7D5D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BDD6EE" w:themeFill="accent5" w:themeFillTint="66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673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B9" w:rsidRPr="007C35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 w:rsidRPr="007C3577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2668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 w:rsidRPr="007C357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763B9" w:rsidRPr="00026B10" w14:paraId="25269888" w14:textId="77777777" w:rsidTr="00A26DE0">
        <w:tc>
          <w:tcPr>
            <w:tcW w:w="3686" w:type="dxa"/>
            <w:shd w:val="clear" w:color="auto" w:fill="CBE7F5"/>
          </w:tcPr>
          <w:p w14:paraId="4C8929C2" w14:textId="2E437F43" w:rsidR="00C65839" w:rsidRPr="00E06A71" w:rsidRDefault="00F763B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A71">
              <w:rPr>
                <w:rFonts w:ascii="Arial" w:hAnsi="Arial" w:cs="Arial"/>
                <w:b/>
                <w:bCs/>
                <w:sz w:val="20"/>
                <w:szCs w:val="20"/>
              </w:rPr>
              <w:t>Ability to swallow oral medicines whole</w:t>
            </w:r>
          </w:p>
        </w:tc>
        <w:tc>
          <w:tcPr>
            <w:tcW w:w="6090" w:type="dxa"/>
            <w:shd w:val="clear" w:color="auto" w:fill="auto"/>
          </w:tcPr>
          <w:p w14:paraId="17E479A2" w14:textId="77777777" w:rsidR="00C052E9" w:rsidRDefault="003D1058" w:rsidP="0091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4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>
              <w:rPr>
                <w:rFonts w:ascii="Arial" w:hAnsi="Arial" w:cs="Arial"/>
                <w:sz w:val="20"/>
                <w:szCs w:val="20"/>
              </w:rPr>
              <w:t>No</w:t>
            </w:r>
            <w:r w:rsidR="00916AC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513D6DC" w14:textId="65AF0545" w:rsidR="00F763B9" w:rsidRPr="00C052E9" w:rsidRDefault="00916AC8" w:rsidP="0091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DE0">
              <w:rPr>
                <w:rFonts w:ascii="Arial" w:hAnsi="Arial" w:cs="Arial"/>
                <w:sz w:val="20"/>
                <w:szCs w:val="20"/>
              </w:rPr>
              <w:t>Paxlovid</w:t>
            </w:r>
            <w:r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26DE0">
              <w:rPr>
                <w:rFonts w:ascii="Arial" w:hAnsi="Arial" w:cs="Arial"/>
                <w:sz w:val="20"/>
                <w:szCs w:val="20"/>
              </w:rPr>
              <w:t xml:space="preserve"> cannot be crushed</w:t>
            </w:r>
            <w:r w:rsidR="00C052E9" w:rsidRPr="00C052E9">
              <w:rPr>
                <w:rFonts w:ascii="Arial" w:hAnsi="Arial" w:cs="Arial"/>
                <w:sz w:val="20"/>
                <w:szCs w:val="20"/>
              </w:rPr>
              <w:t>, Lagevrio</w:t>
            </w:r>
            <w:r w:rsidR="00C052E9"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C052E9" w:rsidRPr="00C052E9">
              <w:rPr>
                <w:rFonts w:ascii="Arial" w:hAnsi="Arial" w:cs="Arial"/>
                <w:sz w:val="20"/>
                <w:szCs w:val="20"/>
              </w:rPr>
              <w:t xml:space="preserve"> capsules can be opened.</w:t>
            </w:r>
          </w:p>
        </w:tc>
      </w:tr>
      <w:tr w:rsidR="00F763B9" w:rsidRPr="00026B10" w14:paraId="53D80A22" w14:textId="77777777" w:rsidTr="00A26DE0">
        <w:tc>
          <w:tcPr>
            <w:tcW w:w="3686" w:type="dxa"/>
            <w:shd w:val="clear" w:color="auto" w:fill="CBE7F5"/>
          </w:tcPr>
          <w:p w14:paraId="7D543FC5" w14:textId="6E760B73" w:rsidR="00F763B9" w:rsidRDefault="006613A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Most recent eGFR (last 6 months):</w:t>
            </w:r>
          </w:p>
          <w:p w14:paraId="5A036511" w14:textId="77777777" w:rsidR="007B1840" w:rsidRPr="00A26DE0" w:rsidRDefault="007B1840" w:rsidP="00A26DE0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A26DE0">
              <w:rPr>
                <w:rFonts w:ascii="Arial" w:hAnsi="Arial" w:cs="Arial"/>
                <w:sz w:val="20"/>
                <w:szCs w:val="20"/>
              </w:rPr>
              <w:t>eGFR = ____________</w:t>
            </w:r>
          </w:p>
          <w:p w14:paraId="54B64E61" w14:textId="0FBA1314" w:rsidR="007B1840" w:rsidRPr="00E06A71" w:rsidRDefault="007B1840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E0">
              <w:rPr>
                <w:rFonts w:ascii="Arial" w:hAnsi="Arial" w:cs="Arial"/>
                <w:sz w:val="20"/>
                <w:szCs w:val="20"/>
              </w:rPr>
              <w:t>Date ______________</w:t>
            </w:r>
          </w:p>
        </w:tc>
        <w:tc>
          <w:tcPr>
            <w:tcW w:w="6090" w:type="dxa"/>
            <w:shd w:val="clear" w:color="auto" w:fill="auto"/>
          </w:tcPr>
          <w:p w14:paraId="46105BBD" w14:textId="3B77F38F" w:rsidR="006613A9" w:rsidRDefault="003D1058" w:rsidP="00F763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1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1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3A9" w:rsidRPr="006613A9">
              <w:rPr>
                <w:rFonts w:ascii="Arial" w:hAnsi="Arial" w:cs="Arial"/>
                <w:sz w:val="20"/>
                <w:szCs w:val="20"/>
              </w:rPr>
              <w:t>≥60mL/min</w:t>
            </w:r>
            <w:r w:rsidR="006613A9" w:rsidRPr="006613A9">
              <w:rPr>
                <w:rFonts w:ascii="Arial" w:hAnsi="Arial" w:cs="Arial"/>
                <w:sz w:val="20"/>
                <w:szCs w:val="20"/>
              </w:rPr>
              <w:c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1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1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775" w:rsidRPr="00293775">
              <w:rPr>
                <w:rFonts w:ascii="Arial" w:hAnsi="Arial" w:cs="Arial"/>
                <w:sz w:val="20"/>
                <w:szCs w:val="20"/>
              </w:rPr>
              <w:t>30-59mL/min</w:t>
            </w:r>
            <w:r w:rsidR="00293775">
              <w:rPr>
                <w:rFonts w:ascii="Arial" w:hAnsi="Arial" w:cs="Arial"/>
                <w:sz w:val="20"/>
                <w:szCs w:val="20"/>
              </w:rPr>
              <w:t xml:space="preserve"> (Dose adjustment recommended for Paxlovid</w:t>
            </w:r>
            <w:r w:rsidR="00293775"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2937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339E44" w14:textId="1DCC998E" w:rsidR="00055DAE" w:rsidRDefault="003D1058" w:rsidP="00A26DE0">
            <w:pPr>
              <w:spacing w:before="60" w:after="6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3775">
              <w:rPr>
                <w:rFonts w:ascii="Arial" w:hAnsi="Arial" w:cs="Arial"/>
                <w:sz w:val="20"/>
                <w:szCs w:val="20"/>
              </w:rPr>
              <w:t xml:space="preserve"> &lt;30</w:t>
            </w:r>
            <w:r w:rsidR="006613A9" w:rsidRPr="006613A9">
              <w:rPr>
                <w:rFonts w:ascii="Arial" w:hAnsi="Arial" w:cs="Arial"/>
                <w:sz w:val="20"/>
                <w:szCs w:val="20"/>
              </w:rPr>
              <w:t>mL/min</w:t>
            </w:r>
            <w:r w:rsidR="006613A9" w:rsidDel="00661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775">
              <w:rPr>
                <w:rFonts w:ascii="Arial" w:hAnsi="Arial" w:cs="Arial"/>
                <w:sz w:val="20"/>
                <w:szCs w:val="20"/>
              </w:rPr>
              <w:t>(Paxlovid</w:t>
            </w:r>
            <w:r w:rsidR="00293775"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29377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93775">
              <w:rPr>
                <w:rFonts w:ascii="Arial" w:hAnsi="Arial" w:cs="Arial"/>
                <w:sz w:val="20"/>
                <w:szCs w:val="20"/>
              </w:rPr>
              <w:t xml:space="preserve">contraindicated) </w:t>
            </w:r>
          </w:p>
          <w:p w14:paraId="70E9C92F" w14:textId="166085F5" w:rsidR="00F763B9" w:rsidRPr="00F02ED5" w:rsidRDefault="003D1058" w:rsidP="00A26DE0">
            <w:pPr>
              <w:spacing w:before="60" w:after="6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55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1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775">
              <w:rPr>
                <w:rFonts w:ascii="Arial" w:hAnsi="Arial" w:cs="Arial"/>
                <w:sz w:val="20"/>
                <w:szCs w:val="20"/>
              </w:rPr>
              <w:t>No recent eGFR</w:t>
            </w:r>
            <w:r w:rsidR="006613A9" w:rsidDel="00661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63B9" w:rsidRPr="00026B10" w14:paraId="6476BE40" w14:textId="77777777" w:rsidTr="00A26DE0">
        <w:tc>
          <w:tcPr>
            <w:tcW w:w="3686" w:type="dxa"/>
            <w:shd w:val="clear" w:color="auto" w:fill="CBE7F5"/>
          </w:tcPr>
          <w:p w14:paraId="22099026" w14:textId="0FFFB9AF" w:rsidR="00F763B9" w:rsidRPr="00E06A71" w:rsidRDefault="006613A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patient have severe </w:t>
            </w:r>
            <w:r w:rsidR="00055DAE">
              <w:rPr>
                <w:rFonts w:ascii="Arial" w:hAnsi="Arial" w:cs="Arial"/>
                <w:b/>
                <w:bCs/>
                <w:sz w:val="20"/>
                <w:szCs w:val="20"/>
              </w:rPr>
              <w:t>liver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5DAE">
              <w:rPr>
                <w:rFonts w:ascii="Arial" w:hAnsi="Arial" w:cs="Arial"/>
                <w:b/>
                <w:bCs/>
                <w:sz w:val="20"/>
                <w:szCs w:val="20"/>
              </w:rPr>
              <w:t>disease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 (Child-Pugh Class C)</w:t>
            </w:r>
            <w:r w:rsidR="00F763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14:paraId="5E8B658A" w14:textId="77777777" w:rsidR="00055DAE" w:rsidRDefault="003D1058" w:rsidP="00055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3A9">
              <w:rPr>
                <w:rFonts w:ascii="Arial" w:hAnsi="Arial" w:cs="Arial"/>
                <w:sz w:val="20"/>
                <w:szCs w:val="20"/>
              </w:rPr>
              <w:t>Yes</w:t>
            </w:r>
            <w:r w:rsidR="00055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3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4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3A9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  <w:p w14:paraId="63EBB474" w14:textId="55ECE738" w:rsidR="00293775" w:rsidRPr="00F02ED5" w:rsidRDefault="00293775" w:rsidP="00055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82AC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es, Paxlovid</w:t>
            </w:r>
            <w:r w:rsidRPr="00A26D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contraindicated </w:t>
            </w:r>
          </w:p>
        </w:tc>
      </w:tr>
      <w:tr w:rsidR="00C82ACD" w:rsidRPr="00026B10" w14:paraId="5A3EC8B0" w14:textId="77777777" w:rsidTr="00A26DE0">
        <w:trPr>
          <w:trHeight w:val="1011"/>
        </w:trPr>
        <w:tc>
          <w:tcPr>
            <w:tcW w:w="3686" w:type="dxa"/>
            <w:shd w:val="clear" w:color="auto" w:fill="CBE7F5"/>
          </w:tcPr>
          <w:p w14:paraId="1A1B6D44" w14:textId="44F4391C" w:rsidR="00F763B9" w:rsidRDefault="00F763B9" w:rsidP="00F763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Currently on medications with potential to interact with P</w:t>
            </w:r>
            <w:r w:rsidR="00916AC8">
              <w:rPr>
                <w:rFonts w:ascii="Arial" w:hAnsi="Arial" w:cs="Arial"/>
                <w:b/>
                <w:bCs/>
                <w:sz w:val="20"/>
                <w:szCs w:val="20"/>
              </w:rPr>
              <w:t>axlovid</w:t>
            </w:r>
            <w:r w:rsidR="00916AC8" w:rsidRPr="00AC7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6D7D9C" w14:textId="59CE9432" w:rsidR="00F763B9" w:rsidRDefault="00F763B9" w:rsidP="00C82AC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14:paraId="157893C7" w14:textId="77777777" w:rsidR="00F763B9" w:rsidRDefault="003D1058" w:rsidP="00F763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7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48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B9"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  <w:p w14:paraId="7A94C888" w14:textId="6518236B" w:rsidR="00F763B9" w:rsidRPr="007C3577" w:rsidRDefault="00F763B9" w:rsidP="00C82A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11" w:history="1">
              <w:r w:rsidRPr="00904A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https://www.covid19-druginteractions.org/</w:t>
              </w:r>
            </w:hyperlink>
          </w:p>
          <w:p w14:paraId="4DCA056B" w14:textId="0DC3969D" w:rsidR="003F42A2" w:rsidRPr="00F02ED5" w:rsidRDefault="003D1058" w:rsidP="00C82A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763B9" w:rsidRPr="000237F5">
                <w:rPr>
                  <w:rStyle w:val="Hyperlink"/>
                </w:rPr>
                <w:t>https://www.veteransmates.net.au/topic-68-therapeutic-brief</w:t>
              </w:r>
            </w:hyperlink>
          </w:p>
        </w:tc>
      </w:tr>
      <w:tr w:rsidR="00C82ACD" w:rsidRPr="00026B10" w14:paraId="3FE17FB6" w14:textId="77777777" w:rsidTr="00A26DE0">
        <w:trPr>
          <w:trHeight w:val="1481"/>
        </w:trPr>
        <w:tc>
          <w:tcPr>
            <w:tcW w:w="3686" w:type="dxa"/>
            <w:shd w:val="clear" w:color="auto" w:fill="CBE7F5"/>
          </w:tcPr>
          <w:p w14:paraId="212F1389" w14:textId="6C8C0E63" w:rsidR="00C82ACD" w:rsidRDefault="00C82ACD" w:rsidP="00C82AC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 plan for treatment?</w:t>
            </w:r>
          </w:p>
          <w:p w14:paraId="5410CE1F" w14:textId="097B3A9C" w:rsidR="007B1840" w:rsidRPr="00A26DE0" w:rsidRDefault="007B1840" w:rsidP="00C82A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A8C8BC7" w14:textId="614BCDB0" w:rsidR="00C82ACD" w:rsidRPr="00A26DE0" w:rsidRDefault="007B1840" w:rsidP="007B18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DE0">
              <w:rPr>
                <w:rFonts w:ascii="Arial" w:hAnsi="Arial" w:cs="Arial"/>
                <w:sz w:val="18"/>
                <w:szCs w:val="18"/>
              </w:rPr>
              <w:t>E.g. Paxlovid</w:t>
            </w:r>
            <w:r w:rsidRPr="00A26DE0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82ACD" w:rsidRPr="00A26DE0">
              <w:rPr>
                <w:rFonts w:ascii="Arial" w:hAnsi="Arial" w:cs="Arial"/>
                <w:sz w:val="18"/>
                <w:szCs w:val="18"/>
              </w:rPr>
              <w:t xml:space="preserve"> suitable but changes to regular medications required</w:t>
            </w:r>
            <w:r w:rsidRPr="00A26DE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6DE0">
              <w:rPr>
                <w:rFonts w:ascii="Arial" w:hAnsi="Arial" w:cs="Arial"/>
                <w:b/>
                <w:bCs/>
                <w:sz w:val="18"/>
                <w:szCs w:val="18"/>
              </w:rPr>
              <w:t>provide details</w:t>
            </w:r>
            <w:r w:rsidRPr="00A26DE0">
              <w:rPr>
                <w:rFonts w:ascii="Arial" w:hAnsi="Arial" w:cs="Arial"/>
                <w:sz w:val="18"/>
                <w:szCs w:val="18"/>
              </w:rPr>
              <w:t>); Paxlovid</w:t>
            </w:r>
            <w:r w:rsidRPr="00A26DE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Pr="00A26DE0">
              <w:rPr>
                <w:rFonts w:ascii="Arial" w:hAnsi="Arial" w:cs="Arial"/>
                <w:sz w:val="18"/>
                <w:szCs w:val="18"/>
              </w:rPr>
              <w:t>with renal dose adjustment</w:t>
            </w:r>
            <w:r w:rsidR="00E527D1" w:rsidRPr="00A26DE0">
              <w:rPr>
                <w:rFonts w:ascii="Arial" w:hAnsi="Arial" w:cs="Arial"/>
                <w:sz w:val="18"/>
                <w:szCs w:val="18"/>
              </w:rPr>
              <w:t>; molnupiravir (Lagevrio</w:t>
            </w:r>
            <w:r w:rsidR="00E527D1" w:rsidRPr="00A26DE0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E527D1" w:rsidRPr="00A26DE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090" w:type="dxa"/>
            <w:shd w:val="clear" w:color="auto" w:fill="auto"/>
          </w:tcPr>
          <w:p w14:paraId="3CDB3087" w14:textId="77777777" w:rsidR="00C82ACD" w:rsidRDefault="00C82ACD" w:rsidP="00F763B9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35A5FA94" w14:textId="77777777" w:rsidR="0092799D" w:rsidRPr="00A26DE0" w:rsidRDefault="0092799D" w:rsidP="00A26DE0">
      <w:pPr>
        <w:shd w:val="clear" w:color="auto" w:fill="FFFFFF" w:themeFill="background1"/>
        <w:spacing w:after="6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9A5D492" w14:textId="2382A396" w:rsidR="00513BDA" w:rsidRDefault="003F42A2">
      <w:r>
        <w:t xml:space="preserve">If oral antivirals are not suitable for your patient and they wish to consider infusion treatment please refer to </w:t>
      </w:r>
      <w:hyperlink r:id="rId13" w:history="1">
        <w:r w:rsidR="00D67F92" w:rsidRPr="00D67F92">
          <w:rPr>
            <w:rStyle w:val="Hyperlink"/>
          </w:rPr>
          <w:t>SA Health COVID Mild Illness Treatments and Referrals</w:t>
        </w:r>
      </w:hyperlink>
      <w:r w:rsidR="006D4725" w:rsidRPr="006D4725">
        <w:rPr>
          <w:rStyle w:val="Hyperlink"/>
          <w:color w:val="auto"/>
          <w:u w:val="none"/>
        </w:rPr>
        <w:t>.</w:t>
      </w:r>
    </w:p>
    <w:p w14:paraId="38C3DDAE" w14:textId="3105B1F9" w:rsidR="00D67F92" w:rsidRPr="00FE5DE8" w:rsidRDefault="00D67F92">
      <w:pPr>
        <w:rPr>
          <w:rFonts w:cstheme="minorHAnsi"/>
        </w:rPr>
      </w:pPr>
      <w:r>
        <w:t xml:space="preserve">If you require further advice regarding COVID oral </w:t>
      </w:r>
      <w:r w:rsidRPr="00FE5DE8">
        <w:rPr>
          <w:rFonts w:cstheme="minorHAnsi"/>
        </w:rPr>
        <w:t xml:space="preserve">antiviral prescribing please call the SA Health dedicated COVID -19 Clinical Medical Advice Line or email </w:t>
      </w:r>
      <w:hyperlink r:id="rId14" w:history="1">
        <w:r w:rsidRPr="00FE5DE8">
          <w:rPr>
            <w:rStyle w:val="Hyperlink"/>
            <w:rFonts w:cstheme="minorHAnsi"/>
          </w:rPr>
          <w:t>health.COVIDDoctorInfo@sa.gov.au</w:t>
        </w:r>
      </w:hyperlink>
      <w:r w:rsidRPr="00FE5DE8">
        <w:rPr>
          <w:rFonts w:cstheme="minorHAnsi"/>
          <w:bCs/>
          <w:color w:val="000000"/>
        </w:rPr>
        <w:t>.</w:t>
      </w:r>
    </w:p>
    <w:sectPr w:rsidR="00D67F92" w:rsidRPr="00FE5DE8" w:rsidSect="00245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9BB5" w14:textId="77777777" w:rsidR="00B4540B" w:rsidRDefault="00B4540B">
      <w:pPr>
        <w:spacing w:after="0" w:line="240" w:lineRule="auto"/>
      </w:pPr>
      <w:r>
        <w:separator/>
      </w:r>
    </w:p>
  </w:endnote>
  <w:endnote w:type="continuationSeparator" w:id="0">
    <w:p w14:paraId="10F29B97" w14:textId="77777777" w:rsidR="00B4540B" w:rsidRDefault="00B4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6D96" w14:textId="77777777" w:rsidR="00CA5D59" w:rsidRDefault="00CA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D629" w14:textId="0832F634" w:rsidR="002453B2" w:rsidRPr="002453B2" w:rsidRDefault="00B506C9" w:rsidP="002453B2">
    <w:pPr>
      <w:pStyle w:val="Footer"/>
      <w:jc w:val="right"/>
      <w:rPr>
        <w:rFonts w:ascii="Arial" w:hAnsi="Arial" w:cs="Arial"/>
        <w:sz w:val="16"/>
        <w:szCs w:val="16"/>
      </w:rPr>
    </w:pPr>
    <w:r w:rsidRPr="002453B2">
      <w:rPr>
        <w:rFonts w:ascii="Arial" w:hAnsi="Arial" w:cs="Arial"/>
        <w:sz w:val="16"/>
        <w:szCs w:val="16"/>
      </w:rPr>
      <w:t>v0.</w:t>
    </w:r>
    <w:r>
      <w:rPr>
        <w:rFonts w:ascii="Arial" w:hAnsi="Arial" w:cs="Arial"/>
        <w:sz w:val="16"/>
        <w:szCs w:val="16"/>
      </w:rPr>
      <w:t>2</w:t>
    </w:r>
    <w:r w:rsidRPr="002453B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FE5DE8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July </w:t>
    </w:r>
    <w:r w:rsidRPr="002453B2">
      <w:rPr>
        <w:rFonts w:ascii="Arial" w:hAnsi="Arial" w:cs="Arial"/>
        <w:sz w:val="16"/>
        <w:szCs w:val="16"/>
      </w:rPr>
      <w:t>2022</w:t>
    </w:r>
  </w:p>
  <w:p w14:paraId="5846A6EE" w14:textId="77777777" w:rsidR="002453B2" w:rsidRDefault="003D1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A0E0" w14:textId="77777777" w:rsidR="00CA5D59" w:rsidRDefault="00CA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F45A" w14:textId="77777777" w:rsidR="00B4540B" w:rsidRDefault="00B4540B">
      <w:pPr>
        <w:spacing w:after="0" w:line="240" w:lineRule="auto"/>
      </w:pPr>
      <w:r>
        <w:separator/>
      </w:r>
    </w:p>
  </w:footnote>
  <w:footnote w:type="continuationSeparator" w:id="0">
    <w:p w14:paraId="113EAD34" w14:textId="77777777" w:rsidR="00B4540B" w:rsidRDefault="00B4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B399" w14:textId="77777777" w:rsidR="00CA5D59" w:rsidRDefault="00CA5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59AF" w14:textId="44A550A5" w:rsidR="00CA5D59" w:rsidRDefault="00CA5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6836" w14:textId="77777777" w:rsidR="00CA5D59" w:rsidRDefault="00CA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543"/>
    <w:multiLevelType w:val="hybridMultilevel"/>
    <w:tmpl w:val="4954901E"/>
    <w:lvl w:ilvl="0" w:tplc="52947CE4">
      <w:start w:val="1"/>
      <w:numFmt w:val="bullet"/>
      <w:lvlText w:val="þ"/>
      <w:lvlJc w:val="left"/>
      <w:pPr>
        <w:ind w:left="288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87E"/>
    <w:multiLevelType w:val="hybridMultilevel"/>
    <w:tmpl w:val="55AE52DA"/>
    <w:lvl w:ilvl="0" w:tplc="5A5CD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001"/>
    <w:multiLevelType w:val="hybridMultilevel"/>
    <w:tmpl w:val="080C216A"/>
    <w:lvl w:ilvl="0" w:tplc="26609D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63CF"/>
    <w:multiLevelType w:val="multilevel"/>
    <w:tmpl w:val="B48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D739F"/>
    <w:multiLevelType w:val="hybridMultilevel"/>
    <w:tmpl w:val="A7B09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1900"/>
    <w:multiLevelType w:val="hybridMultilevel"/>
    <w:tmpl w:val="9A367780"/>
    <w:lvl w:ilvl="0" w:tplc="EF7630E0">
      <w:start w:val="1"/>
      <w:numFmt w:val="bullet"/>
      <w:lvlText w:val="þ"/>
      <w:lvlJc w:val="left"/>
      <w:pPr>
        <w:ind w:left="822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5744252"/>
    <w:multiLevelType w:val="hybridMultilevel"/>
    <w:tmpl w:val="A70E5890"/>
    <w:lvl w:ilvl="0" w:tplc="EF7630E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FE6"/>
    <w:multiLevelType w:val="hybridMultilevel"/>
    <w:tmpl w:val="E53A6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36AA5"/>
    <w:multiLevelType w:val="hybridMultilevel"/>
    <w:tmpl w:val="2D047556"/>
    <w:lvl w:ilvl="0" w:tplc="1A5EFE8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4B40"/>
    <w:multiLevelType w:val="multilevel"/>
    <w:tmpl w:val="116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342B5"/>
    <w:multiLevelType w:val="multilevel"/>
    <w:tmpl w:val="D8AE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D4D3B"/>
    <w:multiLevelType w:val="hybridMultilevel"/>
    <w:tmpl w:val="1BF29848"/>
    <w:lvl w:ilvl="0" w:tplc="AD9247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9D"/>
    <w:rsid w:val="00055DAE"/>
    <w:rsid w:val="000B5988"/>
    <w:rsid w:val="00117DE9"/>
    <w:rsid w:val="00185901"/>
    <w:rsid w:val="0020311B"/>
    <w:rsid w:val="0027505B"/>
    <w:rsid w:val="00293775"/>
    <w:rsid w:val="003D1058"/>
    <w:rsid w:val="003F42A2"/>
    <w:rsid w:val="004763DB"/>
    <w:rsid w:val="004A491F"/>
    <w:rsid w:val="00513BDA"/>
    <w:rsid w:val="00554648"/>
    <w:rsid w:val="00561BB8"/>
    <w:rsid w:val="005D7D5D"/>
    <w:rsid w:val="006613A9"/>
    <w:rsid w:val="006D4725"/>
    <w:rsid w:val="007B1840"/>
    <w:rsid w:val="007C3577"/>
    <w:rsid w:val="008130BB"/>
    <w:rsid w:val="00814D77"/>
    <w:rsid w:val="00822C0B"/>
    <w:rsid w:val="00885E40"/>
    <w:rsid w:val="008C08A6"/>
    <w:rsid w:val="008C7E01"/>
    <w:rsid w:val="00916AC8"/>
    <w:rsid w:val="0092799D"/>
    <w:rsid w:val="00A26DE0"/>
    <w:rsid w:val="00B2005D"/>
    <w:rsid w:val="00B4540B"/>
    <w:rsid w:val="00B506C9"/>
    <w:rsid w:val="00BE3B2D"/>
    <w:rsid w:val="00BE6CF7"/>
    <w:rsid w:val="00C052E9"/>
    <w:rsid w:val="00C65839"/>
    <w:rsid w:val="00C812EB"/>
    <w:rsid w:val="00C82ACD"/>
    <w:rsid w:val="00CA5D59"/>
    <w:rsid w:val="00D37302"/>
    <w:rsid w:val="00D67F92"/>
    <w:rsid w:val="00E527D1"/>
    <w:rsid w:val="00E9386B"/>
    <w:rsid w:val="00F1592F"/>
    <w:rsid w:val="00F36AD1"/>
    <w:rsid w:val="00F464F8"/>
    <w:rsid w:val="00F655EA"/>
    <w:rsid w:val="00F763B9"/>
    <w:rsid w:val="00FB2926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6B3BD"/>
  <w15:chartTrackingRefBased/>
  <w15:docId w15:val="{49DED139-8F12-42EE-8DDD-98663727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9D"/>
  </w:style>
  <w:style w:type="paragraph" w:styleId="Heading3">
    <w:name w:val="heading 3"/>
    <w:basedOn w:val="Normal"/>
    <w:link w:val="Heading3Char"/>
    <w:uiPriority w:val="9"/>
    <w:qFormat/>
    <w:rsid w:val="008C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9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9D"/>
  </w:style>
  <w:style w:type="character" w:styleId="Hyperlink">
    <w:name w:val="Hyperlink"/>
    <w:basedOn w:val="DefaultParagraphFont"/>
    <w:uiPriority w:val="99"/>
    <w:unhideWhenUsed/>
    <w:rsid w:val="00927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2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08A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C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C08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35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25"/>
  </w:style>
  <w:style w:type="paragraph" w:styleId="Revision">
    <w:name w:val="Revision"/>
    <w:hidden/>
    <w:uiPriority w:val="99"/>
    <w:semiHidden/>
    <w:rsid w:val="000B5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ealth.sa.gov.au/wps/wcm/connect/public+content/sa+health+internet/conditions/infectious+diseases/covid-19/health+professionals/monoclonal+antibody+infusion+application+for+covid-19+positive+patients" TargetMode="External"/><Relationship Id="rId13" Type="http://schemas.openxmlformats.org/officeDocument/2006/relationships/hyperlink" Target="https://www.sahealth.sa.gov.au/wps/wcm/connect/public+content/sa+health+internet/conditions/infectious+diseases/covid-19/health+professionals/monoclonal+antibody+infusion+application+for+covid-19+positive+patien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bs.gov.au/info/news/2022/07/expanded-eligibility-criteria-for-covid-19-treatments%20" TargetMode="External"/><Relationship Id="rId12" Type="http://schemas.openxmlformats.org/officeDocument/2006/relationships/hyperlink" Target="https://www.veteransmates.net.au/topic-68-therapeutic-brie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vid19-druginteractions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ealth.gov.au/health-topics/rural-health-workforce/classifications/mm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ps.org.au/coronavirus/faqs-covid-19-antivirals-in-racfs%23:~:text=NPS%20MedicineWise,updated%20as%20clinical%20experience%20expands." TargetMode="External"/><Relationship Id="rId14" Type="http://schemas.openxmlformats.org/officeDocument/2006/relationships/hyperlink" Target="mailto:health.COVIDDoctorInfo@sa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Meertens, Sarah (Health)</dc:creator>
  <cp:keywords/>
  <dc:description/>
  <cp:lastModifiedBy>Parker, Bonnie (Health)</cp:lastModifiedBy>
  <cp:revision>2</cp:revision>
  <dcterms:created xsi:type="dcterms:W3CDTF">2022-08-12T00:57:00Z</dcterms:created>
  <dcterms:modified xsi:type="dcterms:W3CDTF">2022-08-12T00:57:00Z</dcterms:modified>
</cp:coreProperties>
</file>